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October 22, 2014</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Honors Humanities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b w:val="1"/>
          <w:u w:val="single"/>
          <w:rtl w:val="0"/>
        </w:rPr>
        <w:t xml:space="preserve">Shallow Ponds, Sacrosanct Commitments, and Romantics and Utilitarians</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u w:val="single"/>
          <w:rtl w:val="0"/>
        </w:rPr>
        <w:tab/>
      </w:r>
      <w:r w:rsidRPr="00000000" w:rsidR="00000000" w:rsidDel="00000000">
        <w:rPr>
          <w:rFonts w:cs="Times New Roman" w:hAnsi="Times New Roman" w:eastAsia="Times New Roman" w:ascii="Times New Roman"/>
          <w:rtl w:val="0"/>
        </w:rPr>
        <w:t xml:space="preserve">Tonight, look closely at one of the three paragraphs below:</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
        </w:numPr>
        <w:ind w:left="720" w:hanging="359"/>
        <w:contextualSpacing w:val="1"/>
        <w:rPr>
          <w:rFonts w:cs="Times New Roman" w:hAnsi="Times New Roman" w:eastAsia="Times New Roman" w:ascii="Times New Roman"/>
          <w:u w:val="none"/>
        </w:rPr>
      </w:pPr>
      <w:r w:rsidRPr="00000000" w:rsidR="00000000" w:rsidDel="00000000">
        <w:rPr>
          <w:rFonts w:cs="Times New Roman" w:hAnsi="Times New Roman" w:eastAsia="Times New Roman" w:ascii="Times New Roman"/>
          <w:rtl w:val="0"/>
        </w:rPr>
        <w:t xml:space="preserve">“To ignore the child...most basic necessities” (p.59).</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2"/>
        </w:numPr>
        <w:ind w:left="720" w:hanging="359"/>
        <w:contextualSpacing w:val="1"/>
        <w:rPr>
          <w:rFonts w:cs="Times New Roman" w:hAnsi="Times New Roman" w:eastAsia="Times New Roman" w:ascii="Times New Roman"/>
          <w:u w:val="none"/>
        </w:rPr>
      </w:pPr>
      <w:r w:rsidRPr="00000000" w:rsidR="00000000" w:rsidDel="00000000">
        <w:rPr>
          <w:rFonts w:cs="Times New Roman" w:hAnsi="Times New Roman" w:eastAsia="Times New Roman" w:ascii="Times New Roman"/>
          <w:rtl w:val="0"/>
        </w:rPr>
        <w:t xml:space="preserve">“Kravinsky’s conversations with his family...it’s obscene” (p.60).</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3"/>
        </w:numPr>
        <w:ind w:left="720" w:hanging="359"/>
        <w:contextualSpacing w:val="1"/>
        <w:rPr>
          <w:rFonts w:cs="Times New Roman" w:hAnsi="Times New Roman" w:eastAsia="Times New Roman" w:ascii="Times New Roman"/>
          <w:u w:val="none"/>
        </w:rPr>
      </w:pPr>
      <w:r w:rsidRPr="00000000" w:rsidR="00000000" w:rsidDel="00000000">
        <w:rPr>
          <w:rFonts w:cs="Times New Roman" w:hAnsi="Times New Roman" w:eastAsia="Times New Roman" w:ascii="Times New Roman"/>
          <w:rtl w:val="0"/>
        </w:rPr>
        <w:t xml:space="preserve">“The rest was math and poetry...give away his pants” (p.61).</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rtl w:val="0"/>
        </w:rPr>
        <w:t xml:space="preserve">Then, write a page in response. You should clearly state what is being said in the paragraph (a paraphrase), briefly explain why the paragraph is relevant to the Zell’s decision to donate a kidney. Finally, if you are doing #1 or #2, state whether you agree or disagree with the sentiment shared and provide reasons for your opinion. If you are doing #3, write about what you think of Romanticism and what you think of Utilitarianism. Are you drawn to one more than the other? Do you agree with one more than the other?</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2">
    <w:lvl w:ilvl="0">
      <w:start w:val="2"/>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3">
    <w:lvl w:ilvl="0">
      <w:start w:val="3"/>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humanities - ponds, family, math, poetry.docx</dc:title>
</cp:coreProperties>
</file>